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Atomic / Abstract Machines · Updated 3 November 2026 · atomicapp.dev</w:t>
      </w:r>
    </w:p>
    <w:p>
      <w:pPr>
        <w:pStyle w:val="BodyText"/>
      </w:pPr>
      <w:r>
        <w:t xml:space="preserve">Press FAQ</w:t>
      </w:r>
    </w:p>
    <w:bookmarkStart w:id="16" w:name="questions-worth-answering."/>
    <w:p>
      <w:pPr>
        <w:pStyle w:val="Heading1"/>
      </w:pPr>
      <w:r>
        <w:t xml:space="preserve">Questions worth answering.</w:t>
      </w:r>
    </w:p>
    <w:p>
      <w:pPr>
        <w:pStyle w:val="CaptionedFigure"/>
      </w:pPr>
      <w:r>
        <w:drawing>
          <wp:inline>
            <wp:extent cx="3124200" cy="2343150"/>
            <wp:effectExtent b="0" l="0" r="0" t="0"/>
            <wp:docPr descr="01-home" title="" id="10" name="Picture"/>
            <a:graphic>
              <a:graphicData uri="http://schemas.openxmlformats.org/drawingml/2006/picture">
                <pic:pic>
                  <pic:nvPicPr>
                    <pic:cNvPr descr="01-hom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Main page · begin with an idea or choose a template</w:t>
      </w:r>
    </w:p>
    <w:bookmarkStart w:id="12" w:name="what-is-atomic"/>
    <w:p>
      <w:pPr>
        <w:pStyle w:val="Heading2"/>
      </w:pPr>
      <w:r>
        <w:t xml:space="preserve">What is Atomic?</w:t>
      </w:r>
    </w:p>
    <w:p>
      <w:pPr>
        <w:pStyle w:val="FirstParagraph"/>
      </w:pPr>
      <w:r>
        <w:t xml:space="preserve">Atomic helps founders, freelancers and small businesses turn an idea into a web application. Start with a prompt or template, refine the result in conversation and on the Canvas, inspect the source, and publish a reviewed version. Atom, the open-source backend from the same team, provides application identities, permissions and data.</w:t>
      </w:r>
    </w:p>
    <w:bookmarkEnd w:id="12"/>
    <w:bookmarkStart w:id="13" w:name="do-i-need-to-know-how-to-code"/>
    <w:p>
      <w:pPr>
        <w:pStyle w:val="Heading2"/>
      </w:pPr>
      <w:r>
        <w:t xml:space="preserve">Do I need to know how to code?</w:t>
      </w:r>
    </w:p>
    <w:p>
      <w:pPr>
        <w:pStyle w:val="FirstParagraph"/>
      </w:pPr>
      <w:r>
        <w:t xml:space="preserve">Start by describing the app you want. Review the preview and refine it through conversation or visual editing. You should still test the workflows before sharing it.</w:t>
      </w:r>
    </w:p>
    <w:bookmarkEnd w:id="13"/>
    <w:bookmarkStart w:id="14" w:name="what-can-i-build"/>
    <w:p>
      <w:pPr>
        <w:pStyle w:val="Heading2"/>
      </w:pPr>
      <w:r>
        <w:t xml:space="preserve">What can I build?</w:t>
      </w:r>
    </w:p>
    <w:p>
      <w:pPr>
        <w:pStyle w:val="FirstParagraph"/>
      </w:pPr>
      <w:r>
        <w:t xml:space="preserve">Booking apps, online shops, client portals and internal tools are typical starting points. The commerce starter records order requests; it does not by itself collect payments.</w:t>
      </w:r>
    </w:p>
    <w:bookmarkEnd w:id="14"/>
    <w:bookmarkStart w:id="15" w:name="what-does-the-canvas-do"/>
    <w:p>
      <w:pPr>
        <w:pStyle w:val="Heading2"/>
      </w:pPr>
      <w:r>
        <w:t xml:space="preserve">What does the Canvas do?</w:t>
      </w:r>
    </w:p>
    <w:p>
      <w:pPr>
        <w:pStyle w:val="FirstParagraph"/>
      </w:pPr>
      <w:r>
        <w:t xml:space="preserve">Navigate screens and states, select elements, tune whole-app styling and leave contextual comments. Builder and Pro support shared workspaces; workspace builders and finished-app users have separate accounts and access flows.</w:t>
      </w:r>
    </w:p>
    <w:bookmarkEnd w:id="15"/>
    <w:bookmarkEnd w:id="16"/>
    <w:p>
      <w:r>
        <w:br w:type="page"/>
      </w:r>
    </w:p>
    <w:p>
      <w:pPr>
        <w:pStyle w:val="BodyText"/>
      </w:pPr>
      <w:r>
        <w:t xml:space="preserve">Press FAQ</w:t>
      </w:r>
    </w:p>
    <w:bookmarkStart w:id="25" w:name="questions-worth-answering.-1"/>
    <w:p>
      <w:pPr>
        <w:pStyle w:val="Heading1"/>
      </w:pPr>
      <w:r>
        <w:t xml:space="preserve">Questions worth answering.</w:t>
      </w:r>
    </w:p>
    <w:bookmarkStart w:id="17" w:name="can-i-inspect-and-download-the-code"/>
    <w:p>
      <w:pPr>
        <w:pStyle w:val="Heading2"/>
      </w:pPr>
      <w:r>
        <w:t xml:space="preserve">Can I inspect and download the code?</w:t>
      </w:r>
    </w:p>
    <w:p>
      <w:pPr>
        <w:pStyle w:val="FirstParagraph"/>
      </w:pPr>
      <w:r>
        <w:t xml:space="preserve">All plans support source browsing. Source downloads are available on Builder and Pro. An archive contains code, not app users, business data or hosting infrastructure; it is not a complete portable deployment package.</w:t>
      </w:r>
    </w:p>
    <w:bookmarkEnd w:id="17"/>
    <w:bookmarkStart w:id="18" w:name="what-does-verified-mean"/>
    <w:p>
      <w:pPr>
        <w:pStyle w:val="Heading2"/>
      </w:pPr>
      <w:r>
        <w:t xml:space="preserve">What does “Verified” mean?</w:t>
      </w:r>
    </w:p>
    <w:p>
      <w:pPr>
        <w:pStyle w:val="FirstParagraph"/>
      </w:pPr>
      <w:r>
        <w:t xml:space="preserve">It identifies a version that passed the configured automated checks, including build and browser smoke checks. It is not a guarantee that every business workflow is correct or an independent security audit.</w:t>
      </w:r>
    </w:p>
    <w:bookmarkEnd w:id="18"/>
    <w:bookmarkStart w:id="19" w:name="can-i-restore-an-earlier-version"/>
    <w:p>
      <w:pPr>
        <w:pStyle w:val="Heading2"/>
      </w:pPr>
      <w:r>
        <w:t xml:space="preserve">Can I restore an earlier version?</w:t>
      </w:r>
    </w:p>
    <w:p>
      <w:pPr>
        <w:pStyle w:val="FirstParagraph"/>
      </w:pPr>
      <w:r>
        <w:t xml:space="preserve">Source history and publication history concern code. Restoring source or rolling back a release does not restore business data; publication rollback also depends on compatibility with applied data migrations.</w:t>
      </w:r>
    </w:p>
    <w:bookmarkEnd w:id="19"/>
    <w:bookmarkStart w:id="20" w:name="is-atomic-open-source"/>
    <w:p>
      <w:pPr>
        <w:pStyle w:val="Heading2"/>
      </w:pPr>
      <w:r>
        <w:t xml:space="preserve">Is Atomic open source?</w:t>
      </w:r>
    </w:p>
    <w:p>
      <w:pPr>
        <w:pStyle w:val="FirstParagraph"/>
      </w:pPr>
      <w:r>
        <w:t xml:space="preserve">Atom, the backend for identities, permissions and application data, is open source. This does not mean the Atomic builder itself is open source.</w:t>
      </w:r>
    </w:p>
    <w:bookmarkEnd w:id="20"/>
    <w:bookmarkStart w:id="22" w:name="what-plans-does-atomic-offer"/>
    <w:p>
      <w:pPr>
        <w:pStyle w:val="Heading2"/>
      </w:pPr>
      <w:r>
        <w:t xml:space="preserve">What plans does Atomic offer?</w:t>
      </w:r>
    </w:p>
    <w:p>
      <w:pPr>
        <w:pStyle w:val="FirstParagraph"/>
      </w:pPr>
      <w:r>
        <w:t xml:space="preserve">Free ($0), Builder at $25/month, and Pro at $50/month. Free includes 250 credits once, with no daily limit. Source downloads, searchable preview logs and collaboration require Builder or Pro. Product information:</w:t>
      </w:r>
      <w:r>
        <w:t xml:space="preserve"> </w:t>
      </w:r>
      <w:hyperlink r:id="rId21">
        <w:r>
          <w:rPr>
            <w:rStyle w:val="Hyperlink"/>
          </w:rPr>
          <w:t xml:space="preserve">atomicapp.dev</w:t>
        </w:r>
      </w:hyperlink>
      <w:r>
        <w:t xml:space="preserve">.</w:t>
      </w:r>
    </w:p>
    <w:bookmarkEnd w:id="22"/>
    <w:bookmarkStart w:id="24" w:name="Xcab93dd0314f8b374085cfeb20a2e96463a8cdd"/>
    <w:p>
      <w:pPr>
        <w:pStyle w:val="Heading2"/>
      </w:pPr>
      <w:r>
        <w:t xml:space="preserve">Where are the current screenshots and films?</w:t>
      </w:r>
    </w:p>
    <w:p>
      <w:pPr>
        <w:pStyle w:val="FirstParagraph"/>
      </w:pPr>
      <w:hyperlink r:id="rId23">
        <w:r>
          <w:rPr>
            <w:rStyle w:val="Hyperlink"/>
          </w:rPr>
          <w:t xml:space="preserve">Press room and complete media kit</w:t>
        </w:r>
      </w:hyperlink>
      <w:r>
        <w:t xml:space="preserve"> </w:t>
      </w:r>
      <w:r>
        <w:t xml:space="preserve">provides 17 captioned product views, three 35-second launch-film formats and matching opening covers. Contact drasko@absmach.eu for interviews.</w:t>
      </w:r>
    </w:p>
    <w:bookmarkEnd w:id="24"/>
    <w:bookmarkEnd w:id="25"/>
    <w:sectPr>
      <w:footnotePr>
        <w:numRestart w:val="eachSect"/>
      </w:footnotePr>
      <w:pgSz w:w="11906" w:h="16838"/>
      <w:pgMar w:top="1020" w:bottom="1020" w:left="1020" w:right="1020" w:header="400" w:footer="40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  <w:sz w:val="20"/>
      <w:szCs w:val="20"/>
    </w:rPr>
    <w:pPr>
      <w:spacing w:before="0" w:after="100" w:line="270" w:lineRule="auto"/>
    </w:pPr>
  </w:style>
  <w:style w:styleId="BodyText" w:type="paragraph">
    <w:name w:val="Body Text"/>
    <w:basedOn w:val="Normal"/>
    <w:link w:val="BodyTextChar"/>
    <w:qFormat/>
    <w:pPr>
      <w:spacing w:before="0" w:after="100" w:line="270" w:lineRule="auto"/>
    </w:pPr>
    <w:rPr>
      <w:rFonts w:ascii="Arial" w:hAnsi="Arial"/>
      <w:sz w:val="20"/>
      <w:szCs w:val="20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  <w:sz w:val="20"/>
      <w:szCs w:val="20"/>
    </w:rPr>
    <w:pPr>
      <w:spacing w:before="0" w:after="100" w:line="270" w:lineRule="auto"/>
    </w:pPr>
  </w:style>
  <w:style w:customStyle="1" w:styleId="Compact" w:type="paragraph">
    <w:name w:val="Compact"/>
    <w:basedOn w:val="BodyText"/>
    <w:qFormat/>
    <w:pPr>
      <w:spacing w:before="0" w:after="100" w:line="270" w:lineRule="auto"/>
    </w:pPr>
    <w:rPr>
      <w:rFonts w:ascii="Arial" w:hAnsi="Arial"/>
      <w:sz w:val="20"/>
      <w:szCs w:val="20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outlineLvl w:val="0"/>
      <w:spacing w:before="160" w:after="100" w:line="270" w:lineRule="auto"/>
    </w:pPr>
    <w:rPr>
      <w:color w:themeColor="accent1" w:themeShade="BF" w:val="0F4761"/>
      <w:rFonts w:ascii="Arial" w:hAnsi="Arial"/>
      <w:sz w:val="46"/>
      <w:szCs w:val="46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outlineLvl w:val="1"/>
      <w:spacing w:before="160" w:after="100" w:line="270" w:lineRule="auto"/>
    </w:pPr>
    <w:rPr>
      <w:color w:themeColor="accent1" w:themeShade="BF" w:val="0F4761"/>
      <w:rFonts w:ascii="Arial" w:hAnsi="Arial"/>
      <w:sz w:val="25"/>
      <w:szCs w:val="25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before="0" w:after="100" w:line="270" w:lineRule="auto"/>
    </w:pPr>
    <w:rPr>
      <w:i/>
      <w:rFonts w:ascii="Arial" w:hAnsi="Arial"/>
      <w:sz w:val="18"/>
      <w:szCs w:val="18"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  <w:rPr>
      <w:rFonts w:ascii="Arial" w:hAnsi="Arial"/>
      <w:sz w:val="18"/>
      <w:szCs w:val="18"/>
    </w:rPr>
    <w:pPr>
      <w:spacing w:before="0" w:after="100" w:line="270" w:lineRule="auto"/>
    </w:p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1" Target="https://atomicapp.dev/" TargetMode="External" /><Relationship Type="http://schemas.openxmlformats.org/officeDocument/2006/relationships/hyperlink" Id="rId23" Target="https://atomicapp.dev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atomicapp.dev/" TargetMode="External" /><Relationship Type="http://schemas.openxmlformats.org/officeDocument/2006/relationships/hyperlink" Id="rId23" Target="https://atomicapp.dev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2026-11-03T02:05:59Z</dcterms:created>
  <dcterms:modified xsi:type="dcterms:W3CDTF">2026-11-03T02:05:59Z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