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9.png" ContentType="image/png"/>
  <Override PartName="/word/media/rId15.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Atomic / Abstract Machines · Updated 3 November 2026 · atomicapp.dev</w:t>
      </w:r>
    </w:p>
    <w:p>
      <w:pPr>
        <w:pStyle w:val="BodyText"/>
      </w:pPr>
      <w:r>
        <w:t xml:space="preserve">Brand guide</w:t>
      </w:r>
    </w:p>
    <w:bookmarkStart w:id="22" w:name="present-atomic-clearly."/>
    <w:p>
      <w:pPr>
        <w:pStyle w:val="Heading1"/>
      </w:pPr>
      <w:r>
        <w:t xml:space="preserve">Present Atomic clearly.</w:t>
      </w:r>
    </w:p>
    <w:p>
      <w:pPr>
        <w:pStyle w:val="FirstParagraph"/>
      </w:pPr>
      <w:r>
        <w:t xml:space="preserve">Use the supplied gradient symbol and outlined wordmark. The primary lockup in this kit is lowercase “atomic”; the uppercase alternative is included.</w:t>
      </w:r>
    </w:p>
    <w:p>
      <w:pPr>
        <w:pStyle w:val="BodyText"/>
      </w:pPr>
      <w:r>
        <w:drawing>
          <wp:inline>
            <wp:extent cx="2667000" cy="935012"/>
            <wp:effectExtent b="0" l="0" r="0" t="0"/>
            <wp:docPr descr="atomic-lowercase-color-2048" title="" id="10" name="Picture"/>
            <a:graphic>
              <a:graphicData uri="http://schemas.openxmlformats.org/drawingml/2006/picture">
                <pic:pic>
                  <pic:nvPicPr>
                    <pic:cNvPr descr="atomic-lowercase-color-2048.png" id="11" name="Picture"/>
                    <pic:cNvPicPr>
                      <a:picLocks noChangeArrowheads="1" noChangeAspect="1"/>
                    </pic:cNvPicPr>
                  </pic:nvPicPr>
                  <pic:blipFill>
                    <a:blip r:embed="rId9"/>
                    <a:stretch>
                      <a:fillRect/>
                    </a:stretch>
                  </pic:blipFill>
                  <pic:spPr bwMode="auto">
                    <a:xfrm>
                      <a:off x="0" y="0"/>
                      <a:ext cx="2667000" cy="935012"/>
                    </a:xfrm>
                    <a:prstGeom prst="rect">
                      <a:avLst/>
                    </a:prstGeom>
                    <a:noFill/>
                    <a:ln w="9525">
                      <a:noFill/>
                      <a:headEnd/>
                      <a:tailEnd/>
                    </a:ln>
                  </pic:spPr>
                </pic:pic>
              </a:graphicData>
            </a:graphic>
          </wp:inline>
        </w:drawing>
      </w:r>
    </w:p>
    <w:p>
      <w:pPr>
        <w:pStyle w:val="BodyText"/>
      </w:pPr>
      <w:r>
        <w:drawing>
          <wp:inline>
            <wp:extent cx="2667000" cy="935012"/>
            <wp:effectExtent b="0" l="0" r="0" t="0"/>
            <wp:docPr descr="atomic-lowercase-black-2048" title="" id="13" name="Picture"/>
            <a:graphic>
              <a:graphicData uri="http://schemas.openxmlformats.org/drawingml/2006/picture">
                <pic:pic>
                  <pic:nvPicPr>
                    <pic:cNvPr descr="atomic-lowercase-black-2048.png" id="14" name="Picture"/>
                    <pic:cNvPicPr>
                      <a:picLocks noChangeArrowheads="1" noChangeAspect="1"/>
                    </pic:cNvPicPr>
                  </pic:nvPicPr>
                  <pic:blipFill>
                    <a:blip r:embed="rId12"/>
                    <a:stretch>
                      <a:fillRect/>
                    </a:stretch>
                  </pic:blipFill>
                  <pic:spPr bwMode="auto">
                    <a:xfrm>
                      <a:off x="0" y="0"/>
                      <a:ext cx="2667000" cy="935012"/>
                    </a:xfrm>
                    <a:prstGeom prst="rect">
                      <a:avLst/>
                    </a:prstGeom>
                    <a:noFill/>
                    <a:ln w="9525">
                      <a:noFill/>
                      <a:headEnd/>
                      <a:tailEnd/>
                    </a:ln>
                  </pic:spPr>
                </pic:pic>
              </a:graphicData>
            </a:graphic>
          </wp:inline>
        </w:drawing>
      </w:r>
    </w:p>
    <w:p>
      <w:pPr>
        <w:pStyle w:val="BodyText"/>
      </w:pPr>
      <w:r>
        <w:drawing>
          <wp:inline>
            <wp:extent cx="2667000" cy="936117"/>
            <wp:effectExtent b="0" l="0" r="0" t="0"/>
            <wp:docPr descr="atomic-lowercase-white-2048" title="" id="16" name="Picture"/>
            <a:graphic>
              <a:graphicData uri="http://schemas.openxmlformats.org/drawingml/2006/picture">
                <pic:pic>
                  <pic:nvPicPr>
                    <pic:cNvPr descr="atomic-lowercase-white-2048.png" id="17" name="Picture"/>
                    <pic:cNvPicPr>
                      <a:picLocks noChangeArrowheads="1" noChangeAspect="1"/>
                    </pic:cNvPicPr>
                  </pic:nvPicPr>
                  <pic:blipFill>
                    <a:blip r:embed="rId15"/>
                    <a:stretch>
                      <a:fillRect/>
                    </a:stretch>
                  </pic:blipFill>
                  <pic:spPr bwMode="auto">
                    <a:xfrm>
                      <a:off x="0" y="0"/>
                      <a:ext cx="2667000" cy="936117"/>
                    </a:xfrm>
                    <a:prstGeom prst="rect">
                      <a:avLst/>
                    </a:prstGeom>
                    <a:noFill/>
                    <a:ln w="9525">
                      <a:noFill/>
                      <a:headEnd/>
                      <a:tailEnd/>
                    </a:ln>
                  </pic:spPr>
                </pic:pic>
              </a:graphicData>
            </a:graphic>
          </wp:inline>
        </w:drawing>
      </w:r>
    </w:p>
    <w:bookmarkStart w:id="18" w:name="colour-and-artwork"/>
    <w:p>
      <w:pPr>
        <w:pStyle w:val="Heading2"/>
      </w:pPr>
      <w:r>
        <w:t xml:space="preserve">Colour and artwork</w:t>
      </w:r>
    </w:p>
    <w:p>
      <w:pPr>
        <w:pStyle w:val="FirstParagraph"/>
      </w:pPr>
      <w:r>
        <w:t xml:space="preserve">The symbol blends indigo #4338CA, violet #7C72FF, coral #FF8A6B and magenta #C95BB4. Light-background lettering is #16161D. Preserve the supplied gradients, overlap and shading.</w:t>
      </w:r>
    </w:p>
    <w:bookmarkEnd w:id="18"/>
    <w:bookmarkStart w:id="19" w:name="choose-a-background"/>
    <w:p>
      <w:pPr>
        <w:pStyle w:val="Heading2"/>
      </w:pPr>
      <w:r>
        <w:t xml:space="preserve">Choose a background</w:t>
      </w:r>
    </w:p>
    <w:p>
      <w:pPr>
        <w:pStyle w:val="FirstParagraph"/>
      </w:pPr>
      <w:r>
        <w:t xml:space="preserve">Use the colour versions on light or dark backgrounds. For one-colour use, choose the supplied black or white monochrome SVG. Its four separate shapes and transparent gaps preserve the overlap; never flatten the symbol into a silhouette.</w:t>
      </w:r>
    </w:p>
    <w:bookmarkEnd w:id="19"/>
    <w:bookmarkStart w:id="20" w:name="space-and-legibility"/>
    <w:p>
      <w:pPr>
        <w:pStyle w:val="Heading2"/>
      </w:pPr>
      <w:r>
        <w:t xml:space="preserve">Space and legibility</w:t>
      </w:r>
    </w:p>
    <w:p>
      <w:pPr>
        <w:pStyle w:val="FirstParagraph"/>
      </w:pPr>
      <w:r>
        <w:t xml:space="preserve">Leave clear space of at least half the symbol’s height around the logo. As a starting point, use the lockup at 120 pixels wide or larger and the symbol at 24 pixels or larger; check legibility at final size.</w:t>
      </w:r>
    </w:p>
    <w:bookmarkEnd w:id="20"/>
    <w:bookmarkStart w:id="21" w:name="keep-the-identity-intact"/>
    <w:p>
      <w:pPr>
        <w:pStyle w:val="Heading2"/>
      </w:pPr>
      <w:r>
        <w:t xml:space="preserve">Keep the identity intact</w:t>
      </w:r>
    </w:p>
    <w:p>
      <w:pPr>
        <w:pStyle w:val="FirstParagraph"/>
      </w:pPr>
      <w:r>
        <w:t xml:space="preserve">The lowercase wordmark is Inter SemiBold (600), verified against Inter 3.19. Keep its supplied weight, letter shapes and spacing. Manrope is the document and campaign typeface. Write “Atomic” in editorial text.</w:t>
      </w:r>
    </w:p>
    <w:bookmarkEnd w:id="21"/>
    <w:bookmarkEnd w:id="22"/>
    <w:p>
      <w:r>
        <w:br w:type="page"/>
      </w:r>
    </w:p>
    <w:p>
      <w:pPr>
        <w:pStyle w:val="BodyText"/>
      </w:pPr>
      <w:r>
        <w:t xml:space="preserve">Brand guide</w:t>
      </w:r>
    </w:p>
    <w:bookmarkStart w:id="31" w:name="present-atomic-clearly.-1"/>
    <w:p>
      <w:pPr>
        <w:pStyle w:val="Heading1"/>
      </w:pPr>
      <w:r>
        <w:t xml:space="preserve">Present Atomic clearly.</w:t>
      </w:r>
    </w:p>
    <w:bookmarkStart w:id="28" w:name="choose-the-right-file"/>
    <w:p>
      <w:pPr>
        <w:pStyle w:val="Heading2"/>
      </w:pPr>
      <w:r>
        <w:t xml:space="preserve">Choose the right file</w:t>
      </w:r>
    </w:p>
    <w:tbl>
      <w:tblPr>
        <w:tblStyle w:val="Table"/>
        <w:tblW w:type="auto" w:w="0"/>
        <w:tblLook w:firstRow="0" w:lastRow="0" w:firstColumn="0" w:lastColumn="0" w:noHBand="0" w:noVBand="0" w:val="0000"/>
      </w:tblPr>
      <w:tblGrid>
        <w:gridCol w:w="3960"/>
        <w:gridCol w:w="3960"/>
      </w:tblGrid>
      <w:tr>
        <w:tc>
          <w:tcPr/>
          <w:p>
            <w:pPr>
              <w:pStyle w:val="Compact"/>
            </w:pPr>
            <w:r>
              <w:t xml:space="preserve">SVG</w:t>
            </w:r>
          </w:p>
        </w:tc>
        <w:tc>
          <w:tcPr/>
          <w:p>
            <w:pPr>
              <w:pStyle w:val="Compact"/>
            </w:pPr>
            <w:r>
              <w:t xml:space="preserve">Original vector masters, including gradients, shading and outlined lettering. Best for web and design work.</w:t>
            </w:r>
          </w:p>
        </w:tc>
      </w:tr>
      <w:tr>
        <w:tc>
          <w:tcPr/>
          <w:p>
            <w:pPr>
              <w:pStyle w:val="Compact"/>
            </w:pPr>
            <w:r>
              <w:t xml:space="preserve">Transparent PNG</w:t>
            </w:r>
          </w:p>
        </w:tc>
        <w:tc>
          <w:tcPr/>
          <w:p>
            <w:pPr>
              <w:pStyle w:val="Compact"/>
            </w:pPr>
            <w:r>
              <w:t xml:space="preserve">512 and 2048 pixels wide, for slides, documents and social graphics.</w:t>
            </w:r>
          </w:p>
        </w:tc>
      </w:tr>
      <w:tr>
        <w:tc>
          <w:tcPr/>
          <w:p>
            <w:pPr>
              <w:pStyle w:val="Compact"/>
            </w:pPr>
            <w:r>
              <w:t xml:space="preserve">PDF</w:t>
            </w:r>
          </w:p>
        </w:tc>
        <w:tc>
          <w:tcPr/>
          <w:p>
            <w:pPr>
              <w:pStyle w:val="Compact"/>
            </w:pPr>
            <w:r>
              <w:t xml:space="preserve">Appearance-preserving exports for page layout. Shadow filters may contain raster elements; use SVG as the master.</w:t>
            </w:r>
          </w:p>
        </w:tc>
      </w:tr>
      <w:tr>
        <w:tc>
          <w:tcPr/>
          <w:p>
            <w:pPr>
              <w:pStyle w:val="Compact"/>
            </w:pPr>
            <w:r>
              <w:t xml:space="preserve">Originals</w:t>
            </w:r>
          </w:p>
        </w:tc>
        <w:tc>
          <w:tcPr/>
          <w:p>
            <w:pPr>
              <w:pStyle w:val="Compact"/>
            </w:pPr>
            <w:r>
              <w:t xml:space="preserve">All 12 supplied files, including light/dark lockups, the symbol and logo application mockups.</w:t>
            </w:r>
          </w:p>
        </w:tc>
      </w:tr>
    </w:tbl>
    <w:p>
      <w:pPr>
        <w:pStyle w:val="BodyText"/>
      </w:pPr>
      <w:r>
        <w:drawing>
          <wp:inline>
            <wp:extent cx="952500" cy="952500"/>
            <wp:effectExtent b="0" l="0" r="0" t="0"/>
            <wp:docPr descr="atomic-symbol-color-2048" title="" id="24" name="Picture"/>
            <a:graphic>
              <a:graphicData uri="http://schemas.openxmlformats.org/drawingml/2006/picture">
                <pic:pic>
                  <pic:nvPicPr>
                    <pic:cNvPr descr="atomic-symbol-color-2048.png" id="25" name="Picture"/>
                    <pic:cNvPicPr>
                      <a:picLocks noChangeArrowheads="1" noChangeAspect="1"/>
                    </pic:cNvPicPr>
                  </pic:nvPicPr>
                  <pic:blipFill>
                    <a:blip r:embed="rId23"/>
                    <a:stretch>
                      <a:fillRect/>
                    </a:stretch>
                  </pic:blipFill>
                  <pic:spPr bwMode="auto">
                    <a:xfrm>
                      <a:off x="0" y="0"/>
                      <a:ext cx="952500" cy="952500"/>
                    </a:xfrm>
                    <a:prstGeom prst="rect">
                      <a:avLst/>
                    </a:prstGeom>
                    <a:noFill/>
                    <a:ln w="9525">
                      <a:noFill/>
                      <a:headEnd/>
                      <a:tailEnd/>
                    </a:ln>
                  </pic:spPr>
                </pic:pic>
              </a:graphicData>
            </a:graphic>
          </wp:inline>
        </w:drawing>
      </w:r>
      <w:r>
        <w:drawing>
          <wp:inline>
            <wp:extent cx="2667000" cy="935012"/>
            <wp:effectExtent b="0" l="0" r="0" t="0"/>
            <wp:docPr descr="atomic-lowercase-color-2048" title="" id="26" name="Picture"/>
            <a:graphic>
              <a:graphicData uri="http://schemas.openxmlformats.org/drawingml/2006/picture">
                <pic:pic>
                  <pic:nvPicPr>
                    <pic:cNvPr descr="atomic-lowercase-color-2048.png" id="27" name="Picture"/>
                    <pic:cNvPicPr>
                      <a:picLocks noChangeArrowheads="1" noChangeAspect="1"/>
                    </pic:cNvPicPr>
                  </pic:nvPicPr>
                  <pic:blipFill>
                    <a:blip r:embed="rId9"/>
                    <a:stretch>
                      <a:fillRect/>
                    </a:stretch>
                  </pic:blipFill>
                  <pic:spPr bwMode="auto">
                    <a:xfrm>
                      <a:off x="0" y="0"/>
                      <a:ext cx="2667000" cy="935012"/>
                    </a:xfrm>
                    <a:prstGeom prst="rect">
                      <a:avLst/>
                    </a:prstGeom>
                    <a:noFill/>
                    <a:ln w="9525">
                      <a:noFill/>
                      <a:headEnd/>
                      <a:tailEnd/>
                    </a:ln>
                  </pic:spPr>
                </pic:pic>
              </a:graphicData>
            </a:graphic>
          </wp:inline>
        </w:drawing>
      </w:r>
    </w:p>
    <w:bookmarkEnd w:id="28"/>
    <w:bookmarkStart w:id="29" w:name="social-covers-and-product-media"/>
    <w:p>
      <w:pPr>
        <w:pStyle w:val="Heading2"/>
      </w:pPr>
      <w:r>
        <w:t xml:space="preserve">Social covers and product media</w:t>
      </w:r>
    </w:p>
    <w:p>
      <w:pPr>
        <w:pStyle w:val="FirstParagraph"/>
      </w:pPr>
      <w:r>
        <w:t xml:space="preserve">Widescreen, square and vertical covers use the new primary lockup with “Big idea? Make it real.” Choose the supplied format rather than cropping another layout.</w:t>
      </w:r>
    </w:p>
    <w:p>
      <w:pPr>
        <w:pStyle w:val="BodyText"/>
      </w:pPr>
      <w:r>
        <w:t xml:space="preserve">The logo files, document branding, presentation frames and social covers use the 2 November 2026 identity. App screenshot branding uses the current lowercase identity. All three launch films use the current lowercase identity throughout, including recorded app screens. Original narration, music and timing are preserved. Supplied logo application mockups are design references, not product captures.</w:t>
      </w:r>
    </w:p>
    <w:bookmarkEnd w:id="29"/>
    <w:bookmarkStart w:id="30" w:name="editorial-credits"/>
    <w:p>
      <w:pPr>
        <w:pStyle w:val="Heading2"/>
      </w:pPr>
      <w:r>
        <w:t xml:space="preserve">Editorial credits</w:t>
      </w:r>
    </w:p>
    <w:p>
      <w:pPr>
        <w:pStyle w:val="FirstParagraph"/>
      </w:pPr>
      <w:r>
        <w:t xml:space="preserve">Courtesy of Atomic / Abstract Machines. For portraits: Courtesy of Abstract Machines. The Manrope licence is included under assets. Sample-app photographs remain part of product screenshots and are not standalone stock assets.</w:t>
      </w:r>
    </w:p>
    <w:bookmarkEnd w:id="30"/>
    <w:bookmarkEnd w:id="31"/>
    <w:sectPr>
      <w:footnotePr>
        <w:numRestart w:val="eachSect"/>
      </w:footnotePr>
      <w:pgSz w:w="11906" w:h="16838"/>
      <w:pgMar w:top="1020" w:bottom="1020" w:left="1020" w:right="1020" w:header="400" w:footer="4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sz w:val="20"/>
      <w:szCs w:val="20"/>
    </w:rPr>
    <w:pPr>
      <w:spacing w:before="0" w:after="100" w:line="270" w:lineRule="auto"/>
    </w:pPr>
  </w:style>
  <w:style w:styleId="BodyText" w:type="paragraph">
    <w:name w:val="Body Text"/>
    <w:basedOn w:val="Normal"/>
    <w:link w:val="BodyTextChar"/>
    <w:qFormat/>
    <w:pPr>
      <w:spacing w:before="0" w:after="100" w:line="270" w:lineRule="auto"/>
    </w:pPr>
    <w:rPr>
      <w:rFonts w:ascii="Arial" w:hAnsi="Arial"/>
      <w:sz w:val="20"/>
      <w:szCs w:val="20"/>
    </w:rPr>
  </w:style>
  <w:style w:customStyle="1" w:styleId="FirstParagraph" w:type="paragraph">
    <w:name w:val="First Paragraph"/>
    <w:basedOn w:val="BodyText"/>
    <w:next w:val="BodyText"/>
    <w:qFormat/>
    <w:rPr>
      <w:rFonts w:ascii="Arial" w:hAnsi="Arial"/>
      <w:sz w:val="20"/>
      <w:szCs w:val="20"/>
    </w:rPr>
    <w:pPr>
      <w:spacing w:before="0" w:after="100" w:line="270" w:lineRule="auto"/>
    </w:pPr>
  </w:style>
  <w:style w:customStyle="1" w:styleId="Compact" w:type="paragraph">
    <w:name w:val="Compact"/>
    <w:basedOn w:val="BodyText"/>
    <w:qFormat/>
    <w:pPr>
      <w:spacing w:before="0" w:after="100" w:line="270" w:lineRule="auto"/>
    </w:pPr>
    <w:rPr>
      <w:rFonts w:ascii="Arial" w:hAnsi="Arial"/>
      <w:sz w:val="20"/>
      <w:szCs w:val="20"/>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outlineLvl w:val="0"/>
      <w:spacing w:before="160" w:after="100" w:line="270" w:lineRule="auto"/>
    </w:pPr>
    <w:rPr>
      <w:color w:themeColor="accent1" w:themeShade="BF" w:val="0F4761"/>
      <w:rFonts w:ascii="Arial" w:hAnsi="Arial"/>
      <w:sz w:val="46"/>
      <w:szCs w:val="46"/>
    </w:rPr>
  </w:style>
  <w:style w:styleId="Heading2" w:type="paragraph">
    <w:name w:val="heading 2"/>
    <w:basedOn w:val="Normal"/>
    <w:next w:val="BodyText"/>
    <w:link w:val="Heading2Char"/>
    <w:uiPriority w:val="9"/>
    <w:semiHidden/>
    <w:unhideWhenUsed/>
    <w:qFormat/>
    <w:rsid w:val="00A10FD9"/>
    <w:pPr>
      <w:keepNext/>
      <w:keepLines/>
      <w:outlineLvl w:val="1"/>
      <w:spacing w:before="160" w:after="100" w:line="270" w:lineRule="auto"/>
    </w:pPr>
    <w:rPr>
      <w:color w:themeColor="accent1" w:themeShade="BF" w:val="0F4761"/>
      <w:rFonts w:ascii="Arial" w:hAnsi="Arial"/>
      <w:sz w:val="25"/>
      <w:szCs w:val="25"/>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before="0" w:after="100" w:line="270" w:lineRule="auto"/>
    </w:pPr>
    <w:rPr>
      <w:i/>
      <w:rFonts w:ascii="Arial" w:hAnsi="Arial"/>
      <w:sz w:val="18"/>
      <w:szCs w:val="18"/>
    </w:rPr>
  </w:style>
  <w:style w:customStyle="1" w:styleId="TableCaption" w:type="paragraph">
    <w:name w:val="Table Caption"/>
    <w:basedOn w:val="Caption"/>
    <w:pPr>
      <w:keepNext/>
    </w:pPr>
  </w:style>
  <w:style w:customStyle="1" w:styleId="ImageCaption" w:type="paragraph">
    <w:name w:val="Image Caption"/>
    <w:basedOn w:val="Caption"/>
    <w:rPr>
      <w:rFonts w:ascii="Arial" w:hAnsi="Arial"/>
      <w:sz w:val="18"/>
      <w:szCs w:val="18"/>
    </w:rPr>
    <w:pPr>
      <w:spacing w:before="0" w:after="100" w:line="270" w:lineRule="auto"/>
    </w:p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15" Target="media/rId15.png" /><Relationship Type="http://schemas.openxmlformats.org/officeDocument/2006/relationships/image" Id="rId23" Target="media/rId2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2026-11-03T02:06:00Z</dcterms:created>
  <dcterms:modified xsi:type="dcterms:W3CDTF">2026-11-03T02:06:00Z</dcterms:modified>
</cp:coreProperties>
</file>

<file path=docProps/custom.xml><?xml version="1.0" encoding="utf-8"?>
<Properties xmlns="http://schemas.openxmlformats.org/officeDocument/2006/custom-properties" xmlns:vt="http://schemas.openxmlformats.org/officeDocument/2006/docPropsVTypes"/>
</file>