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Atomic / Abstract Machines · Updated 3 November 2026 · atomicapp.dev</w:t>
      </w:r>
    </w:p>
    <w:p>
      <w:pPr>
        <w:pStyle w:val="BodyText"/>
      </w:pPr>
      <w:r>
        <w:t xml:space="preserve">Video &amp; social assets</w:t>
      </w:r>
    </w:p>
    <w:bookmarkStart w:id="13" w:name="choose-the-right-asset."/>
    <w:p>
      <w:pPr>
        <w:pStyle w:val="Heading1"/>
      </w:pPr>
      <w:r>
        <w:t xml:space="preserve">Choose the right asset.</w:t>
      </w:r>
    </w:p>
    <w:p>
      <w:pPr>
        <w:pStyle w:val="CaptionedFigure"/>
      </w:pPr>
      <w:r>
        <w:drawing>
          <wp:inline>
            <wp:extent cx="5124450" cy="2882503"/>
            <wp:effectExtent b="0" l="0" r="0" t="0"/>
            <wp:docPr descr="atomic-launch-widescreen-cover" title="" id="10" name="Picture"/>
            <a:graphic>
              <a:graphicData uri="http://schemas.openxmlformats.org/drawingml/2006/picture">
                <pic:pic>
                  <pic:nvPicPr>
                    <pic:cNvPr descr="atomic-launch-widescreen-cover.png" id="11" name="Picture"/>
                    <pic:cNvPicPr>
                      <a:picLocks noChangeArrowheads="1" noChangeAspect="1"/>
                    </pic:cNvPicPr>
                  </pic:nvPicPr>
                  <pic:blipFill>
                    <a:blip r:embed="rId9"/>
                    <a:stretch>
                      <a:fillRect/>
                    </a:stretch>
                  </pic:blipFill>
                  <pic:spPr bwMode="auto">
                    <a:xfrm>
                      <a:off x="0" y="0"/>
                      <a:ext cx="5124450" cy="2882503"/>
                    </a:xfrm>
                    <a:prstGeom prst="rect">
                      <a:avLst/>
                    </a:prstGeom>
                    <a:noFill/>
                    <a:ln w="9525">
                      <a:noFill/>
                      <a:headEnd/>
                      <a:tailEnd/>
                    </a:ln>
                  </pic:spPr>
                </pic:pic>
              </a:graphicData>
            </a:graphic>
          </wp:inline>
        </w:drawing>
      </w:r>
    </w:p>
    <w:p>
      <w:pPr>
        <w:pStyle w:val="ImageCaption"/>
      </w:pPr>
      <w:r>
        <w:t xml:space="preserve">Click to watch the widescreen launch film</w:t>
      </w:r>
    </w:p>
    <w:bookmarkStart w:id="12" w:name="the-35-second-launch-film"/>
    <w:p>
      <w:pPr>
        <w:pStyle w:val="Heading2"/>
      </w:pPr>
      <w:r>
        <w:t xml:space="preserve">The 35-second launch film</w:t>
      </w:r>
    </w:p>
    <w:p>
      <w:pPr>
        <w:pStyle w:val="FirstParagraph"/>
      </w:pPr>
      <w:r>
        <w:t xml:space="preserve">All three launch formats have the same approved ElevenLabs narration, music and timing. The website appears in the opening, Canvas and closing scenes. The film carries no launch date.</w:t>
      </w:r>
    </w:p>
    <w:tbl>
      <w:tblPr>
        <w:tblStyle w:val="Table"/>
        <w:tblW w:type="pct" w:w="5000"/>
        <w:tblLayout w:type="fixed"/>
        <w:tblLook w:firstRow="0" w:lastRow="0" w:firstColumn="0" w:lastColumn="0" w:noHBand="0" w:noVBand="0" w:val="0000"/>
      </w:tblPr>
      <w:tblGrid>
        <w:gridCol w:w="3960"/>
        <w:gridCol w:w="3960"/>
      </w:tblGrid>
      <w:tr>
        <w:tc>
          <w:tcPr/>
          <w:p>
            <w:pPr>
              <w:pStyle w:val="Compact"/>
            </w:pPr>
            <w:r>
              <w:t xml:space="preserve">YouTube / website · 16:9</w:t>
            </w:r>
          </w:p>
        </w:tc>
        <w:tc>
          <w:tcPr/>
          <w:p>
            <w:pPr>
              <w:pStyle w:val="Compact"/>
            </w:pPr>
            <w:r>
              <w:t xml:space="preserve">atomic-product-demo.mp4</w:t>
            </w:r>
            <w:r>
              <w:br/>
            </w:r>
            <w:r>
              <w:t xml:space="preserve">1920 × 1080 · optional SRT/VTT captions</w:t>
            </w:r>
          </w:p>
        </w:tc>
      </w:tr>
      <w:tr>
        <w:tc>
          <w:tcPr/>
          <w:p>
            <w:pPr>
              <w:pStyle w:val="Compact"/>
            </w:pPr>
            <w:r>
              <w:t xml:space="preserve">LinkedIn / X · 1:1</w:t>
            </w:r>
          </w:p>
        </w:tc>
        <w:tc>
          <w:tcPr/>
          <w:p>
            <w:pPr>
              <w:pStyle w:val="Compact"/>
            </w:pPr>
            <w:r>
              <w:t xml:space="preserve">atomic-launch-square.mp4</w:t>
            </w:r>
            <w:r>
              <w:br/>
            </w:r>
            <w:r>
              <w:t xml:space="preserve">1080 × 1080 · built-in English captions</w:t>
            </w:r>
          </w:p>
        </w:tc>
      </w:tr>
      <w:tr>
        <w:tc>
          <w:tcPr/>
          <w:p>
            <w:pPr>
              <w:pStyle w:val="Compact"/>
            </w:pPr>
            <w:r>
              <w:t xml:space="preserve">Instagram Reels · 9:16</w:t>
            </w:r>
          </w:p>
        </w:tc>
        <w:tc>
          <w:tcPr/>
          <w:p>
            <w:pPr>
              <w:pStyle w:val="Compact"/>
            </w:pPr>
            <w:r>
              <w:t xml:space="preserve">atomic-launch-vertical.mp4</w:t>
            </w:r>
            <w:r>
              <w:br/>
            </w:r>
            <w:r>
              <w:t xml:space="preserve">1080 × 1920 · built-in English captions</w:t>
            </w:r>
          </w:p>
        </w:tc>
      </w:tr>
    </w:tbl>
    <w:p>
      <w:pPr>
        <w:pStyle w:val="BodyText"/>
      </w:pPr>
      <w:r>
        <w:t xml:space="preserve">MP4 · H.264 video / AAC audio · 30 fps. The square file serves both LinkedIn and X. The vertical framing follows the actual recorded Canvas controls and collaboration comment.</w:t>
      </w:r>
    </w:p>
    <w:bookmarkEnd w:id="12"/>
    <w:bookmarkEnd w:id="13"/>
    <w:p>
      <w:r>
        <w:br w:type="page"/>
      </w:r>
    </w:p>
    <w:p>
      <w:pPr>
        <w:pStyle w:val="BodyText"/>
      </w:pPr>
      <w:r>
        <w:t xml:space="preserve">Video &amp; social assets</w:t>
      </w:r>
    </w:p>
    <w:bookmarkStart w:id="26" w:name="choose-the-right-asset.-1"/>
    <w:p>
      <w:pPr>
        <w:pStyle w:val="Heading1"/>
      </w:pPr>
      <w:r>
        <w:t xml:space="preserve">Choose the right asset.</w:t>
      </w:r>
    </w:p>
    <w:tbl>
      <w:tblPr>
        <w:tblStyle w:val="Table"/>
        <w:tblW w:type="pct" w:w="5000"/>
        <w:tblLayout w:type="fixed"/>
        <w:tblLook w:firstRow="0" w:lastRow="0" w:firstColumn="0" w:lastColumn="0" w:noHBand="0" w:noVBand="0" w:val="0000"/>
      </w:tblPr>
      <w:tblGrid>
        <w:gridCol w:w="3960"/>
        <w:gridCol w:w="3960"/>
      </w:tblGrid>
      <w:tr>
        <w:tc>
          <w:tcPr/>
          <w:p>
            <w:pPr>
              <w:pStyle w:val="CaptionedFigure"/>
            </w:pPr>
            <w:r>
              <w:drawing>
                <wp:inline>
                  <wp:extent cx="1657350" cy="1657350"/>
                  <wp:effectExtent b="0" l="0" r="0" t="0"/>
                  <wp:docPr descr="atomic-launch-square-cover" title="" id="15" name="Picture"/>
                  <a:graphic>
                    <a:graphicData uri="http://schemas.openxmlformats.org/drawingml/2006/picture">
                      <pic:pic>
                        <pic:nvPicPr>
                          <pic:cNvPr descr="atomic-launch-square-cover.png" id="16" name="Picture"/>
                          <pic:cNvPicPr>
                            <a:picLocks noChangeArrowheads="1" noChangeAspect="1"/>
                          </pic:cNvPicPr>
                        </pic:nvPicPr>
                        <pic:blipFill>
                          <a:blip r:embed="rId14"/>
                          <a:stretch>
                            <a:fillRect/>
                          </a:stretch>
                        </pic:blipFill>
                        <pic:spPr bwMode="auto">
                          <a:xfrm>
                            <a:off x="0" y="0"/>
                            <a:ext cx="1657350" cy="1657350"/>
                          </a:xfrm>
                          <a:prstGeom prst="rect">
                            <a:avLst/>
                          </a:prstGeom>
                          <a:noFill/>
                          <a:ln w="9525">
                            <a:noFill/>
                            <a:headEnd/>
                            <a:tailEnd/>
                          </a:ln>
                        </pic:spPr>
                      </pic:pic>
                    </a:graphicData>
                  </a:graphic>
                </wp:inline>
              </w:drawing>
            </w:r>
          </w:p>
          <w:p>
            <w:pPr>
              <w:pStyle w:val="ImageCaption"/>
            </w:pPr>
            <w:r>
              <w:t xml:space="preserve">Launch cover · square · “Big idea? Make it real.”</w:t>
            </w:r>
          </w:p>
        </w:tc>
        <w:tc>
          <w:tcPr/>
          <w:p>
            <w:pPr>
              <w:pStyle w:val="CaptionedFigure"/>
            </w:pPr>
            <w:r>
              <w:drawing>
                <wp:inline>
                  <wp:extent cx="933450" cy="1659466"/>
                  <wp:effectExtent b="0" l="0" r="0" t="0"/>
                  <wp:docPr descr="atomic-launch-vertical-cover" title="" id="18" name="Picture"/>
                  <a:graphic>
                    <a:graphicData uri="http://schemas.openxmlformats.org/drawingml/2006/picture">
                      <pic:pic>
                        <pic:nvPicPr>
                          <pic:cNvPr descr="atomic-launch-vertical-cover.png" id="19" name="Picture"/>
                          <pic:cNvPicPr>
                            <a:picLocks noChangeArrowheads="1" noChangeAspect="1"/>
                          </pic:cNvPicPr>
                        </pic:nvPicPr>
                        <pic:blipFill>
                          <a:blip r:embed="rId17"/>
                          <a:stretch>
                            <a:fillRect/>
                          </a:stretch>
                        </pic:blipFill>
                        <pic:spPr bwMode="auto">
                          <a:xfrm>
                            <a:off x="0" y="0"/>
                            <a:ext cx="933450" cy="1659466"/>
                          </a:xfrm>
                          <a:prstGeom prst="rect">
                            <a:avLst/>
                          </a:prstGeom>
                          <a:noFill/>
                          <a:ln w="9525">
                            <a:noFill/>
                            <a:headEnd/>
                            <a:tailEnd/>
                          </a:ln>
                        </pic:spPr>
                      </pic:pic>
                    </a:graphicData>
                  </a:graphic>
                </wp:inline>
              </w:drawing>
            </w:r>
          </w:p>
          <w:p>
            <w:pPr>
              <w:pStyle w:val="ImageCaption"/>
            </w:pPr>
            <w:r>
              <w:t xml:space="preserve">Launch cover · vertical · “Big idea? Make it real.”</w:t>
            </w:r>
          </w:p>
        </w:tc>
      </w:tr>
    </w:tbl>
    <w:bookmarkStart w:id="20" w:name="choose-the-matching-cover"/>
    <w:p>
      <w:pPr>
        <w:pStyle w:val="Heading2"/>
      </w:pPr>
      <w:r>
        <w:t xml:space="preserve">Choose the matching cover</w:t>
      </w:r>
    </w:p>
    <w:p>
      <w:pPr>
        <w:pStyle w:val="FirstParagraph"/>
      </w:pPr>
      <w:r>
        <w:t xml:space="preserve">These refreshed opening designs use the new logo and website address. Choose the prepared cover when the publishing platform offers that option. The films use the current logo throughout, including the recorded app screens.</w:t>
      </w:r>
    </w:p>
    <w:bookmarkEnd w:id="20"/>
    <w:bookmarkStart w:id="21" w:name="captions-and-uploading"/>
    <w:p>
      <w:pPr>
        <w:pStyle w:val="Heading2"/>
      </w:pPr>
      <w:r>
        <w:t xml:space="preserve">Captions and uploading</w:t>
      </w:r>
    </w:p>
    <w:p>
      <w:pPr>
        <w:pStyle w:val="FirstParagraph"/>
      </w:pPr>
      <w:r>
        <w:t xml:space="preserve">Upload the matching MP4. Square and vertical films already contain captions; avoid adding a duplicate caption layer. The product-demo SRT and VTT files share the same speech timing across all three formats. A plain-text transcript is included.</w:t>
      </w:r>
    </w:p>
    <w:bookmarkEnd w:id="21"/>
    <w:bookmarkStart w:id="22" w:name="use-the-current-edition"/>
    <w:p>
      <w:pPr>
        <w:pStyle w:val="Heading2"/>
      </w:pPr>
      <w:r>
        <w:t xml:space="preserve">Use the current edition</w:t>
      </w:r>
    </w:p>
    <w:p>
      <w:pPr>
        <w:pStyle w:val="FirstParagraph"/>
      </w:pPr>
      <w:r>
        <w:t xml:space="preserve">The current kit supplies the three date-free launch formats and their opening-design covers. Refer to the public press room for the latest product imagery, downloadable documents and media files.</w:t>
      </w:r>
    </w:p>
    <w:bookmarkEnd w:id="22"/>
    <w:bookmarkStart w:id="25" w:name="editorial-context"/>
    <w:p>
      <w:pPr>
        <w:pStyle w:val="Heading2"/>
      </w:pPr>
      <w:r>
        <w:t xml:space="preserve">Editorial context</w:t>
      </w:r>
    </w:p>
    <w:p>
      <w:pPr>
        <w:pStyle w:val="FirstParagraph"/>
      </w:pPr>
      <w:r>
        <w:t xml:space="preserve">The footage records local sample-app interactions, with framing and a brief effect around the selected element. The standalone screenshots may show different demo states. Sample businesses and data are illustrations, not customer endorsements.</w:t>
      </w:r>
    </w:p>
    <w:p>
      <w:pPr>
        <w:pStyle w:val="BodyText"/>
      </w:pPr>
      <w:hyperlink r:id="rId23">
        <w:r>
          <w:rPr>
            <w:rStyle w:val="Hyperlink"/>
          </w:rPr>
          <w:t xml:space="preserve">atomicapp.dev</w:t>
        </w:r>
      </w:hyperlink>
      <w:r>
        <w:t xml:space="preserve"> </w:t>
      </w:r>
      <w:r>
        <w:t xml:space="preserve">·</w:t>
      </w:r>
      <w:r>
        <w:t xml:space="preserve"> </w:t>
      </w:r>
      <w:hyperlink r:id="rId24">
        <w:r>
          <w:rPr>
            <w:rStyle w:val="Hyperlink"/>
          </w:rPr>
          <w:t xml:space="preserve">Press room and complete media kit</w:t>
        </w:r>
      </w:hyperlink>
    </w:p>
    <w:bookmarkEnd w:id="25"/>
    <w:bookmarkEnd w:id="26"/>
    <w:sectPr>
      <w:footnotePr>
        <w:numRestart w:val="eachSect"/>
      </w:footnotePr>
      <w:pgSz w:w="11906" w:h="16838"/>
      <w:pgMar w:top="1020" w:bottom="1020" w:left="1020" w:right="1020" w:header="400" w:footer="4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hAnsi="Arial"/>
      <w:sz w:val="20"/>
      <w:szCs w:val="20"/>
    </w:rPr>
    <w:pPr>
      <w:spacing w:before="0" w:after="100" w:line="270" w:lineRule="auto"/>
    </w:pPr>
  </w:style>
  <w:style w:styleId="BodyText" w:type="paragraph">
    <w:name w:val="Body Text"/>
    <w:basedOn w:val="Normal"/>
    <w:link w:val="BodyTextChar"/>
    <w:qFormat/>
    <w:pPr>
      <w:spacing w:before="0" w:after="100" w:line="270" w:lineRule="auto"/>
    </w:pPr>
    <w:rPr>
      <w:rFonts w:ascii="Arial" w:hAnsi="Arial"/>
      <w:sz w:val="20"/>
      <w:szCs w:val="20"/>
    </w:rPr>
  </w:style>
  <w:style w:customStyle="1" w:styleId="FirstParagraph" w:type="paragraph">
    <w:name w:val="First Paragraph"/>
    <w:basedOn w:val="BodyText"/>
    <w:next w:val="BodyText"/>
    <w:qFormat/>
    <w:rPr>
      <w:rFonts w:ascii="Arial" w:hAnsi="Arial"/>
      <w:sz w:val="20"/>
      <w:szCs w:val="20"/>
    </w:rPr>
    <w:pPr>
      <w:spacing w:before="0" w:after="100" w:line="270" w:lineRule="auto"/>
    </w:pPr>
  </w:style>
  <w:style w:customStyle="1" w:styleId="Compact" w:type="paragraph">
    <w:name w:val="Compact"/>
    <w:basedOn w:val="BodyText"/>
    <w:qFormat/>
    <w:pPr>
      <w:spacing w:before="0" w:after="100" w:line="270" w:lineRule="auto"/>
    </w:pPr>
    <w:rPr>
      <w:rFonts w:ascii="Arial" w:hAnsi="Arial"/>
      <w:sz w:val="20"/>
      <w:szCs w:val="20"/>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outlineLvl w:val="0"/>
      <w:spacing w:before="160" w:after="100" w:line="270" w:lineRule="auto"/>
    </w:pPr>
    <w:rPr>
      <w:color w:themeColor="accent1" w:themeShade="BF" w:val="0F4761"/>
      <w:rFonts w:ascii="Arial" w:hAnsi="Arial"/>
      <w:sz w:val="46"/>
      <w:szCs w:val="46"/>
    </w:rPr>
  </w:style>
  <w:style w:styleId="Heading2" w:type="paragraph">
    <w:name w:val="heading 2"/>
    <w:basedOn w:val="Normal"/>
    <w:next w:val="BodyText"/>
    <w:link w:val="Heading2Char"/>
    <w:uiPriority w:val="9"/>
    <w:semiHidden/>
    <w:unhideWhenUsed/>
    <w:qFormat/>
    <w:rsid w:val="00A10FD9"/>
    <w:pPr>
      <w:keepNext/>
      <w:keepLines/>
      <w:outlineLvl w:val="1"/>
      <w:spacing w:before="160" w:after="100" w:line="270" w:lineRule="auto"/>
    </w:pPr>
    <w:rPr>
      <w:color w:themeColor="accent1" w:themeShade="BF" w:val="0F4761"/>
      <w:rFonts w:ascii="Arial" w:hAnsi="Arial"/>
      <w:sz w:val="25"/>
      <w:szCs w:val="25"/>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before="0" w:after="100" w:line="270" w:lineRule="auto"/>
    </w:pPr>
    <w:rPr>
      <w:i/>
      <w:rFonts w:ascii="Arial" w:hAnsi="Arial"/>
      <w:sz w:val="18"/>
      <w:szCs w:val="18"/>
    </w:rPr>
  </w:style>
  <w:style w:customStyle="1" w:styleId="TableCaption" w:type="paragraph">
    <w:name w:val="Table Caption"/>
    <w:basedOn w:val="Caption"/>
    <w:pPr>
      <w:keepNext/>
    </w:pPr>
  </w:style>
  <w:style w:customStyle="1" w:styleId="ImageCaption" w:type="paragraph">
    <w:name w:val="Image Caption"/>
    <w:basedOn w:val="Caption"/>
    <w:rPr>
      <w:rFonts w:ascii="Arial" w:hAnsi="Arial"/>
      <w:sz w:val="18"/>
      <w:szCs w:val="18"/>
    </w:rPr>
    <w:pPr>
      <w:spacing w:before="0" w:after="100" w:line="270" w:lineRule="auto"/>
    </w:p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png" /><Relationship Type="http://schemas.openxmlformats.org/officeDocument/2006/relationships/image" Id="rId17" Target="media/rId17.png" /><Relationship Type="http://schemas.openxmlformats.org/officeDocument/2006/relationships/image" Id="rId9" Target="media/rId9.png" /><Relationship Type="http://schemas.openxmlformats.org/officeDocument/2006/relationships/hyperlink" Id="rId23" Target="https://atomicapp.dev/" TargetMode="External" /><Relationship Type="http://schemas.openxmlformats.org/officeDocument/2006/relationships/hyperlink" Id="rId24" Target="https://atomicapp.dev/press/" TargetMode="External" /></Relationships>
</file>

<file path=word/_rels/footnotes.xml.rels><?xml version="1.0" encoding="UTF-8"?><Relationships xmlns="http://schemas.openxmlformats.org/package/2006/relationships"><Relationship Type="http://schemas.openxmlformats.org/officeDocument/2006/relationships/hyperlink" Id="rId23" Target="https://atomicapp.dev/" TargetMode="External" /><Relationship Type="http://schemas.openxmlformats.org/officeDocument/2006/relationships/hyperlink" Id="rId24" Target="https://atomicapp.dev/pre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2026-11-03T02:06:00Z</dcterms:created>
  <dcterms:modified xsi:type="dcterms:W3CDTF">2026-11-03T02:06:00Z</dcterms:modified>
</cp:coreProperties>
</file>

<file path=docProps/custom.xml><?xml version="1.0" encoding="utf-8"?>
<Properties xmlns="http://schemas.openxmlformats.org/officeDocument/2006/custom-properties" xmlns:vt="http://schemas.openxmlformats.org/officeDocument/2006/docPropsVTypes"/>
</file>